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7665"/>
        <w:tblGridChange w:id="0">
          <w:tblGrid>
            <w:gridCol w:w="1335"/>
            <w:gridCol w:w="7665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Aula 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Condição + Projeto + Revisão + Questionário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conceito de comando “se..” será apresentado aos alunos. Usar exemplos da aula 2 para ilustrar a funcionalidade deste comando.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ffff"/>
          <w:highlight w:val="black"/>
          <w:rtl w:val="0"/>
        </w:rPr>
        <w:t xml:space="preserve">Aula 12h30 ás 15h00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9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6090"/>
        <w:gridCol w:w="2520"/>
        <w:tblGridChange w:id="0">
          <w:tblGrid>
            <w:gridCol w:w="360"/>
            <w:gridCol w:w="6090"/>
            <w:gridCol w:w="25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Questionário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Revisão geral.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Explicação de “Se”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Labirintos “Se” (1, 2 e 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Projeto do Jogo Era Uma Vez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40 min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Intervalo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Questionário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Apresentação CupSong (SE SOBRAR TEMPO) FINAL.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Apresentação da Faculdade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